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8A" w:rsidRDefault="00E8234F">
      <w:pPr>
        <w:jc w:val="center"/>
      </w:pPr>
      <w:r>
        <w:rPr>
          <w:b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2109465</wp:posOffset>
            </wp:positionH>
            <wp:positionV relativeFrom="paragraph">
              <wp:posOffset>-435611</wp:posOffset>
            </wp:positionV>
            <wp:extent cx="1485900" cy="1485900"/>
            <wp:effectExtent l="0" t="0" r="0" b="0"/>
            <wp:wrapNone/>
            <wp:docPr id="1" name="Obraz 1" descr="noweSEAokra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5208A" w:rsidRDefault="0015208A">
      <w:pPr>
        <w:jc w:val="center"/>
        <w:rPr>
          <w:b/>
          <w:sz w:val="32"/>
          <w:szCs w:val="24"/>
        </w:rPr>
      </w:pPr>
    </w:p>
    <w:p w:rsidR="0015208A" w:rsidRDefault="0015208A">
      <w:pPr>
        <w:jc w:val="center"/>
        <w:rPr>
          <w:b/>
          <w:sz w:val="32"/>
          <w:szCs w:val="24"/>
        </w:rPr>
      </w:pPr>
    </w:p>
    <w:p w:rsidR="0015208A" w:rsidRDefault="00E8234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REKOMENDACJE SEA</w:t>
      </w:r>
    </w:p>
    <w:p w:rsidR="0015208A" w:rsidRDefault="0015208A">
      <w:pPr>
        <w:rPr>
          <w:sz w:val="24"/>
          <w:szCs w:val="24"/>
        </w:rPr>
      </w:pPr>
    </w:p>
    <w:p w:rsidR="0015208A" w:rsidRDefault="00E8234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NATO i POLSKA PO SZCZYCIE W WARSZAWIE – NOWE WYZWANIA, NOWE ODPOWIEDZI</w:t>
      </w:r>
    </w:p>
    <w:p w:rsidR="0015208A" w:rsidRDefault="0015208A">
      <w:pPr>
        <w:jc w:val="center"/>
        <w:rPr>
          <w:b/>
          <w:i/>
          <w:sz w:val="40"/>
          <w:szCs w:val="40"/>
          <w:u w:val="single"/>
        </w:rPr>
      </w:pPr>
    </w:p>
    <w:p w:rsidR="0015208A" w:rsidRDefault="00E8234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(wnioski z debaty w Stowarzyszeniu Euro-Atlantyckim w dniu 26 września 2016 r.)</w:t>
      </w:r>
    </w:p>
    <w:p w:rsidR="0015208A" w:rsidRDefault="0015208A">
      <w:pPr>
        <w:jc w:val="center"/>
        <w:rPr>
          <w:b/>
          <w:i/>
          <w:sz w:val="40"/>
          <w:szCs w:val="40"/>
          <w:u w:val="single"/>
        </w:rPr>
      </w:pPr>
    </w:p>
    <w:p w:rsidR="0015208A" w:rsidRDefault="00E8234F">
      <w:pPr>
        <w:pStyle w:val="Akapitzlist"/>
        <w:numPr>
          <w:ilvl w:val="0"/>
          <w:numId w:val="2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Z punktu </w:t>
      </w:r>
      <w:r>
        <w:rPr>
          <w:sz w:val="24"/>
          <w:szCs w:val="24"/>
        </w:rPr>
        <w:t xml:space="preserve">widzenia bezpieczeństwa Polski, wyniki lipcowego szczytu NATO w Warszawie są pozytywne, bo stanowią pierwszy konkretny krok w kierunku zapobiegania zagrożeniom ze strony Rosji (odstraszanie). Wymiar wojskowy tego odstraszania (głównie cztery wielonarodowe </w:t>
      </w:r>
      <w:r>
        <w:rPr>
          <w:sz w:val="24"/>
          <w:szCs w:val="24"/>
        </w:rPr>
        <w:t>bataliony na flance wschodniej) ułatwia wprawdzie wciąganie sojuszników do obrony przed ew. agresją rosyjską, ale ma charakter „powstrzymywania na dystans”. Uwzględnia  niemieckie stanowisko – poszanowania przynajmniej ducha porozumień z Moskwą w kwestii r</w:t>
      </w:r>
      <w:r>
        <w:rPr>
          <w:sz w:val="24"/>
          <w:szCs w:val="24"/>
        </w:rPr>
        <w:t>ozmieszczania potencjału obronnego na terytoriach państw przyjętych do sojuszu po 1999 roku.</w:t>
      </w:r>
    </w:p>
    <w:p w:rsidR="0015208A" w:rsidRDefault="00E8234F">
      <w:pPr>
        <w:pStyle w:val="Akapitzlist"/>
        <w:textAlignment w:val="auto"/>
      </w:pPr>
      <w:r>
        <w:rPr>
          <w:sz w:val="24"/>
          <w:szCs w:val="24"/>
        </w:rPr>
        <w:t xml:space="preserve"> Po raz pierwszy od zakończenia „zimnej wojny” Sojusz zdecydował się na uzupełnienie programu wzmacniania (</w:t>
      </w:r>
      <w:r>
        <w:rPr>
          <w:i/>
          <w:sz w:val="24"/>
          <w:szCs w:val="24"/>
        </w:rPr>
        <w:t>reinforcement</w:t>
      </w:r>
      <w:r>
        <w:rPr>
          <w:sz w:val="24"/>
          <w:szCs w:val="24"/>
        </w:rPr>
        <w:t>) sił państw członkowskich w razie potrzeby</w:t>
      </w:r>
      <w:r>
        <w:rPr>
          <w:sz w:val="24"/>
          <w:szCs w:val="24"/>
        </w:rPr>
        <w:t xml:space="preserve"> (poprzez przerzuty sił o charakterze ekspedycyjnym – NRF) o koncepcję - na razie niewielkiego - rozmieszczania sił  w pobliżu potencjalnej linii frontu (</w:t>
      </w:r>
      <w:r>
        <w:rPr>
          <w:i/>
          <w:sz w:val="24"/>
          <w:szCs w:val="24"/>
        </w:rPr>
        <w:t>forward deployment</w:t>
      </w:r>
      <w:r>
        <w:rPr>
          <w:sz w:val="24"/>
          <w:szCs w:val="24"/>
        </w:rPr>
        <w:t>).</w:t>
      </w:r>
    </w:p>
    <w:p w:rsidR="0015208A" w:rsidRDefault="00E8234F">
      <w:pPr>
        <w:pStyle w:val="Akapitzlis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Decyzji warszawskiej towarzyszy też postulat równoczesnego prowadzenia z Federac</w:t>
      </w:r>
      <w:r>
        <w:rPr>
          <w:sz w:val="24"/>
          <w:szCs w:val="24"/>
        </w:rPr>
        <w:t>ją Rosyjską dialogu w sprawach bezpieczeństwa. Jednakże, poza werbalną deklaracją, nie podjęto w konkretny sposób zagrożenia wynikającego z rosyjskiej doktryny przewidującej możliwość „deeskalacyjnego uderzenia jądrowego”, bo dotąd nie przeprowadzono wewnę</w:t>
      </w:r>
      <w:r>
        <w:rPr>
          <w:sz w:val="24"/>
          <w:szCs w:val="24"/>
        </w:rPr>
        <w:t>trznego przeglądu polityki nuklearnej NATO. W tej kwestii wyczuwalna jest niechęć Niemiec i kilku innych sojuszników zachodnich do wznawiania tej kwestii, zgodnie z linią Berlina postulującą traktowanie Rosji raczej jako „wyzwania’, a nie tylko jako „partn</w:t>
      </w:r>
      <w:r>
        <w:rPr>
          <w:sz w:val="24"/>
          <w:szCs w:val="24"/>
        </w:rPr>
        <w:t xml:space="preserve">era”.  </w:t>
      </w:r>
    </w:p>
    <w:p w:rsidR="0015208A" w:rsidRDefault="00E8234F">
      <w:pPr>
        <w:pStyle w:val="Akapitzlist"/>
        <w:numPr>
          <w:ilvl w:val="0"/>
          <w:numId w:val="1"/>
        </w:numPr>
        <w:textAlignment w:val="auto"/>
      </w:pPr>
      <w:r>
        <w:rPr>
          <w:sz w:val="24"/>
          <w:szCs w:val="24"/>
        </w:rPr>
        <w:t>Na razie nie ma bezpośredniego, egzystencjalnego zagrożenia bezpieczeństwa Polski, ale procesy dezintegracji ładu międzynarodowego i wzrost nieprzewidywalności w stosunkach międzynarodowych (wybory w USA, Niemczech i Francji, wyzwanie rosyjskie i w</w:t>
      </w:r>
      <w:r>
        <w:rPr>
          <w:sz w:val="24"/>
          <w:szCs w:val="24"/>
        </w:rPr>
        <w:t xml:space="preserve">ojna z Ukrainą, wojna domowa w Syrii i terroryzm ISIS, niebezpieczeństwa konfrontacji USA z Chinami na Morzu Południowo-Chińskim itd.) narzucają konieczność pilnego zadbania o wiarygodność odstraszania NATO i należytego funkcjonowania sojuszu. </w:t>
      </w:r>
    </w:p>
    <w:p w:rsidR="0015208A" w:rsidRDefault="00E8234F">
      <w:pPr>
        <w:pStyle w:val="Akapitzlist"/>
        <w:textAlignment w:val="auto"/>
      </w:pPr>
      <w:r>
        <w:rPr>
          <w:sz w:val="24"/>
          <w:szCs w:val="24"/>
        </w:rPr>
        <w:t xml:space="preserve"> W kontekśc</w:t>
      </w:r>
      <w:r>
        <w:rPr>
          <w:sz w:val="24"/>
          <w:szCs w:val="24"/>
        </w:rPr>
        <w:t xml:space="preserve">ie obaw o postawę Rosji, rosną bowiem także niepokoje związane ze stagnacją w kwestii nakładów na zbrojenia w Europie Zachodniej, rozdźwięki co do priorytetów działania Sojuszu na wschodniej i południowej flance, zbyt wolne </w:t>
      </w:r>
      <w:r>
        <w:rPr>
          <w:sz w:val="24"/>
          <w:szCs w:val="24"/>
        </w:rPr>
        <w:lastRenderedPageBreak/>
        <w:t>podejmowanie działań sojuszniczy</w:t>
      </w:r>
      <w:r>
        <w:rPr>
          <w:sz w:val="24"/>
          <w:szCs w:val="24"/>
        </w:rPr>
        <w:t xml:space="preserve">ch. Jednostronne podejmowanie przez zachodnich sojuszników, a także Słowację i Węgry, poszukiwań pragmatycznego </w:t>
      </w:r>
      <w:r>
        <w:rPr>
          <w:i/>
          <w:sz w:val="24"/>
          <w:szCs w:val="24"/>
        </w:rPr>
        <w:t>modus vivendi</w:t>
      </w:r>
      <w:r>
        <w:rPr>
          <w:sz w:val="24"/>
          <w:szCs w:val="24"/>
        </w:rPr>
        <w:t xml:space="preserve"> w stosunkach z Rosją może Polskę osamotnić.</w:t>
      </w:r>
    </w:p>
    <w:p w:rsidR="0015208A" w:rsidRDefault="00E8234F">
      <w:pPr>
        <w:pStyle w:val="Akapitzlist"/>
        <w:numPr>
          <w:ilvl w:val="0"/>
          <w:numId w:val="1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Rosyjska polityka odzyskiwania imperialnej pozycji w Europie i na świecie (w tym stref</w:t>
      </w:r>
      <w:r>
        <w:rPr>
          <w:sz w:val="24"/>
          <w:szCs w:val="24"/>
        </w:rPr>
        <w:t xml:space="preserve"> wpływów), gruntowna modernizacja i rozbudowa sił zbrojnych rozpoczęta po wojnie z Gruzją w 2008 r. oraz łamanie przez Moskwę zasad i norm międzynarodowych są aktualnie najbardziej bezpośrednimi wyzwaniami dla polskiej polityki bezpieczeństwa. Trzeba mieć </w:t>
      </w:r>
      <w:r>
        <w:rPr>
          <w:sz w:val="24"/>
          <w:szCs w:val="24"/>
        </w:rPr>
        <w:t>na uwadze, że główną obsesją rosyjskich strategów jest budowa amerykańskiej tarczy antyrakietowej w Europie, bo ich zdaniem może ona stanowić w przyszłości zagrożenie dla rosyjskiego potencjału strategicznego, a poza tym oznacza zbliżenie infrastruktury mi</w:t>
      </w:r>
      <w:r>
        <w:rPr>
          <w:sz w:val="24"/>
          <w:szCs w:val="24"/>
        </w:rPr>
        <w:t>litarnej USA/NATO do granic Rosji.  Stąd biorą się obawy Rosji związane z  budową bazy w Redzikowie.</w:t>
      </w:r>
    </w:p>
    <w:p w:rsidR="0015208A" w:rsidRDefault="00E8234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Priorytetem, oprócz umacniania własnego potencjału obronnego, jest działanie w ramach sojuszu, przede wszystkim w sensie umacniania wiarygodności i automat</w:t>
      </w:r>
      <w:r>
        <w:rPr>
          <w:sz w:val="24"/>
          <w:szCs w:val="24"/>
        </w:rPr>
        <w:t>ycznego stosowania art. 5 Traktatu Waszyngtońskiego, a także skuteczne uczestnictwo w kształtowaniu wspólnej polityki bezpieczeństwa w Europie. Zagrożenie dla polskiego bezpieczeństwa nie polega bowiem na zmasowanym ataku militarnym czy nawet wojną hybrydo</w:t>
      </w:r>
      <w:r>
        <w:rPr>
          <w:sz w:val="24"/>
          <w:szCs w:val="24"/>
        </w:rPr>
        <w:t xml:space="preserve">wą, ale na strategicznym osamotnieniu i na wzroście wpływów rosyjskich w regionie. </w:t>
      </w:r>
    </w:p>
    <w:p w:rsidR="0015208A" w:rsidRDefault="00E8234F">
      <w:pPr>
        <w:pStyle w:val="Akapitzlist"/>
        <w:numPr>
          <w:ilvl w:val="0"/>
          <w:numId w:val="1"/>
        </w:numPr>
        <w:textAlignment w:val="auto"/>
      </w:pPr>
      <w:r>
        <w:rPr>
          <w:sz w:val="24"/>
          <w:szCs w:val="24"/>
        </w:rPr>
        <w:t xml:space="preserve">Na czoło </w:t>
      </w:r>
      <w:r>
        <w:rPr>
          <w:b/>
          <w:sz w:val="24"/>
          <w:szCs w:val="24"/>
        </w:rPr>
        <w:t>praktycznych działań</w:t>
      </w:r>
      <w:r>
        <w:rPr>
          <w:sz w:val="24"/>
          <w:szCs w:val="24"/>
        </w:rPr>
        <w:t xml:space="preserve"> polskiej dyplomacji wysuwa się zaangażowanie we wcielanie w życie postanowień warszawskiego szczytu NATO :</w:t>
      </w:r>
    </w:p>
    <w:p w:rsidR="0015208A" w:rsidRDefault="00E8234F">
      <w:pPr>
        <w:pStyle w:val="Akapitzlist"/>
        <w:numPr>
          <w:ilvl w:val="1"/>
          <w:numId w:val="1"/>
        </w:numPr>
        <w:textAlignment w:val="auto"/>
      </w:pPr>
      <w:r>
        <w:rPr>
          <w:sz w:val="24"/>
          <w:szCs w:val="24"/>
        </w:rPr>
        <w:t xml:space="preserve">W horyzoncie do następnego </w:t>
      </w:r>
      <w:r>
        <w:rPr>
          <w:sz w:val="24"/>
          <w:szCs w:val="24"/>
        </w:rPr>
        <w:t xml:space="preserve">sojuszniczego szczytu (zapewne późną wiosną 2017 r. w Brukseli) konieczna jest „praca organiczna” polegająca na dopilnowaniu </w:t>
      </w:r>
      <w:r>
        <w:rPr>
          <w:b/>
          <w:sz w:val="24"/>
          <w:szCs w:val="24"/>
        </w:rPr>
        <w:t xml:space="preserve">PEŁNEJ </w:t>
      </w:r>
      <w:r>
        <w:rPr>
          <w:sz w:val="24"/>
          <w:szCs w:val="24"/>
        </w:rPr>
        <w:t>realizacji warszawskiego pakietu. Oznacza to m.in. unikanie w tym czasie wysuwania nowych inicjatyw, gdyż mogłyby zakłócić l</w:t>
      </w:r>
      <w:r>
        <w:rPr>
          <w:sz w:val="24"/>
          <w:szCs w:val="24"/>
        </w:rPr>
        <w:t>ub spowolnić tempo implementacji – w czasie kolejnego szczytu pojawią się nowe wyzwania. Chodzi tu nie tylko do „dopilnowanie” działań KG NATO i samych sojuszników, ale także o solidne odrabianie własnego „zadania domowego”, dot. m.in.: realizacji porozumi</w:t>
      </w:r>
      <w:r>
        <w:rPr>
          <w:sz w:val="24"/>
          <w:szCs w:val="24"/>
        </w:rPr>
        <w:t>enia SOFA, obowiązków wynikających z roli jednego z państw gospodarzy wielonarodowego batalionu (</w:t>
      </w:r>
      <w:r>
        <w:rPr>
          <w:i/>
          <w:sz w:val="24"/>
          <w:szCs w:val="24"/>
        </w:rPr>
        <w:t>host nation suport</w:t>
      </w:r>
      <w:r>
        <w:rPr>
          <w:sz w:val="24"/>
          <w:szCs w:val="24"/>
        </w:rPr>
        <w:t>). W tych kwestiach powinniśmy być „prymusem”. Dotyczy to także pilnej modernizacji sprzętu polskiej armii i dostosowania do wymogów NATO, zw</w:t>
      </w:r>
      <w:r>
        <w:rPr>
          <w:sz w:val="24"/>
          <w:szCs w:val="24"/>
        </w:rPr>
        <w:t xml:space="preserve">łaszcza w dziedzinie obrony powietrznej, przeciwrakietowej i morskiej. </w:t>
      </w:r>
    </w:p>
    <w:p w:rsidR="0015208A" w:rsidRDefault="00E8234F">
      <w:pPr>
        <w:pStyle w:val="Akapitzlist"/>
        <w:numPr>
          <w:ilvl w:val="1"/>
          <w:numId w:val="1"/>
        </w:numPr>
        <w:textAlignment w:val="auto"/>
      </w:pPr>
      <w:r>
        <w:rPr>
          <w:sz w:val="24"/>
          <w:szCs w:val="24"/>
        </w:rPr>
        <w:t xml:space="preserve">Rotacyjne jednostki (bataliony) i ich funkcjonowanie powinny stać się częścią planowania wojskowego NATO i planów </w:t>
      </w:r>
      <w:r>
        <w:rPr>
          <w:i/>
          <w:sz w:val="24"/>
          <w:szCs w:val="24"/>
        </w:rPr>
        <w:t>contingency</w:t>
      </w:r>
      <w:r>
        <w:rPr>
          <w:sz w:val="24"/>
          <w:szCs w:val="24"/>
        </w:rPr>
        <w:t xml:space="preserve"> na wypadek zagrożenia. Chodzi o to, aby stały się integral</w:t>
      </w:r>
      <w:r>
        <w:rPr>
          <w:sz w:val="24"/>
          <w:szCs w:val="24"/>
        </w:rPr>
        <w:t>ną częścią mechanizmu obronnego NATO, podobnie jak wczesne ostrzeganie, rozbudowa zdolności przerzutu wojsk, zapobieganie agresji cybernetycznej oraz powrót do rozwijania tzw. ciężkich formacji wojskowych.</w:t>
      </w:r>
    </w:p>
    <w:p w:rsidR="0015208A" w:rsidRDefault="00E8234F">
      <w:pPr>
        <w:pStyle w:val="Akapitzlist"/>
        <w:numPr>
          <w:ilvl w:val="1"/>
          <w:numId w:val="1"/>
        </w:numPr>
        <w:textAlignment w:val="auto"/>
      </w:pPr>
      <w:r>
        <w:rPr>
          <w:sz w:val="24"/>
          <w:szCs w:val="24"/>
        </w:rPr>
        <w:t>Realizacja pakietu warszawskiego dotycząca rotacyj</w:t>
      </w:r>
      <w:r>
        <w:rPr>
          <w:sz w:val="24"/>
          <w:szCs w:val="24"/>
        </w:rPr>
        <w:t>nych jednostek nie może jednak odbywać się kosztem postanowień dot. „szpicy”, która jest niewielką, ale realną siłą wojskową, uzupełniającą siły reagowania NATO (</w:t>
      </w:r>
      <w:r>
        <w:rPr>
          <w:i/>
          <w:sz w:val="24"/>
          <w:szCs w:val="24"/>
        </w:rPr>
        <w:t>NATO Reponse Force – NRF</w:t>
      </w:r>
      <w:r>
        <w:rPr>
          <w:sz w:val="24"/>
          <w:szCs w:val="24"/>
        </w:rPr>
        <w:t>), zdolne do zaangażowania także w obronę terytorialną, pod warunkiem,</w:t>
      </w:r>
      <w:r>
        <w:rPr>
          <w:sz w:val="24"/>
          <w:szCs w:val="24"/>
        </w:rPr>
        <w:t xml:space="preserve"> że ich przerzut na obszar działań nie napotka na przeszkody prawne, polityczne czy logistyczne.</w:t>
      </w:r>
    </w:p>
    <w:p w:rsidR="0015208A" w:rsidRDefault="00E8234F">
      <w:pPr>
        <w:pStyle w:val="Akapitzlist"/>
        <w:numPr>
          <w:ilvl w:val="1"/>
          <w:numId w:val="1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Nasze konkretne działania powinny brać pod uwagę potrzeby niezwłocznego, automatycznego i natychmiastowego działania w razie zagrożenia i akcji typu </w:t>
      </w:r>
      <w:r>
        <w:rPr>
          <w:sz w:val="24"/>
          <w:szCs w:val="24"/>
        </w:rPr>
        <w:lastRenderedPageBreak/>
        <w:t xml:space="preserve">hybrydowego. Oczywiście żadne państwo sojusznicze nie zgodzi się na wciągnięcie do wojny bez podjęcia politycznej decyzji, zgodnej z konstytucyjnym porządkiem (decyzje w stolicach muszą następnie być zaakceptowane przez Radę Północnoatlantycką w KG NATO), </w:t>
      </w:r>
      <w:r>
        <w:rPr>
          <w:sz w:val="24"/>
          <w:szCs w:val="24"/>
        </w:rPr>
        <w:t>co może powodować niebezpieczną zwłokę. Można jednak doprowadzić do wciągnięcia sojuszników w działania podprogowe, przed podjęciem ostatecznej decyzji.</w:t>
      </w:r>
    </w:p>
    <w:p w:rsidR="0015208A" w:rsidRDefault="00E8234F">
      <w:pPr>
        <w:pStyle w:val="Akapitzlist"/>
        <w:numPr>
          <w:ilvl w:val="1"/>
          <w:numId w:val="1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 tle polityki Rosji, Morze Bałtyckie może stać się rejonem zapalnym. Jest już bowiem obszarem, gdzie </w:t>
      </w:r>
      <w:r>
        <w:rPr>
          <w:sz w:val="24"/>
          <w:szCs w:val="24"/>
        </w:rPr>
        <w:t>Moskwa mnoży incydenty wojskowe mające testować reakcje innych państw,  głównie członków Sojuszu oraz krajów nordyckich. Powinniśmy to uwzględniać w naszych rachubach i uzupełniać sojusznicze działania o współpracę z państwami nordyckimi, zwłaszcza Szwecją</w:t>
      </w:r>
      <w:r>
        <w:rPr>
          <w:sz w:val="24"/>
          <w:szCs w:val="24"/>
        </w:rPr>
        <w:t xml:space="preserve">. </w:t>
      </w:r>
    </w:p>
    <w:p w:rsidR="0015208A" w:rsidRDefault="00E8234F">
      <w:pPr>
        <w:pStyle w:val="Akapitzlist"/>
        <w:numPr>
          <w:ilvl w:val="1"/>
          <w:numId w:val="1"/>
        </w:numPr>
        <w:textAlignment w:val="auto"/>
      </w:pPr>
      <w:r>
        <w:rPr>
          <w:sz w:val="24"/>
          <w:szCs w:val="24"/>
        </w:rPr>
        <w:t xml:space="preserve">Rozważenia wymaga zaangażowanie Polski w aktywizację tematu wiarygodności odstraszania nuklearnego sojuszu, w ramach </w:t>
      </w:r>
      <w:r>
        <w:rPr>
          <w:i/>
          <w:sz w:val="24"/>
          <w:szCs w:val="24"/>
        </w:rPr>
        <w:t>Nuclear Policy Review</w:t>
      </w:r>
      <w:r>
        <w:rPr>
          <w:sz w:val="24"/>
          <w:szCs w:val="24"/>
        </w:rPr>
        <w:t>. Wskazana byłaby przy tym powściągliwość i nieeksponowanie roli naszego kraju jako promotora rozbudowy arsenałów n</w:t>
      </w:r>
      <w:r>
        <w:rPr>
          <w:sz w:val="24"/>
          <w:szCs w:val="24"/>
        </w:rPr>
        <w:t>uklearnych i środków przenoszenia, a raczej jako orędownika skutecznego mechanizmu powstrzymywania Rosji przed ew. użyciem sił nuklearnych.</w:t>
      </w:r>
    </w:p>
    <w:p w:rsidR="0015208A" w:rsidRDefault="0015208A">
      <w:pPr>
        <w:ind w:left="1080"/>
        <w:textAlignment w:val="auto"/>
      </w:pPr>
    </w:p>
    <w:p w:rsidR="0015208A" w:rsidRDefault="00E8234F">
      <w:pPr>
        <w:pStyle w:val="Akapitzlist"/>
        <w:numPr>
          <w:ilvl w:val="0"/>
          <w:numId w:val="1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Polska musi walczyć o swoje interesy także w ramach NATO, ale w sposób nie antagonizujący sojuszników. Co więcej, p</w:t>
      </w:r>
      <w:r>
        <w:rPr>
          <w:sz w:val="24"/>
          <w:szCs w:val="24"/>
        </w:rPr>
        <w:t>owinniśmy poszukiwać „promotorów” naszych spraw. I odwrotnie, konieczne jest zapewnienie o naszej wiarygodności i unikanie wszelkich dwuznaczności w oficjalnych wypowiedziach (niezależnie od szczebla) dotyczących zastosowania art. 5 Traktatu.</w:t>
      </w:r>
    </w:p>
    <w:p w:rsidR="0015208A" w:rsidRDefault="0015208A">
      <w:pPr>
        <w:pStyle w:val="Akapitzlist"/>
        <w:textAlignment w:val="auto"/>
        <w:rPr>
          <w:sz w:val="24"/>
          <w:szCs w:val="24"/>
        </w:rPr>
      </w:pPr>
    </w:p>
    <w:p w:rsidR="0015208A" w:rsidRDefault="00E8234F">
      <w:pPr>
        <w:pStyle w:val="Akapitzlist"/>
        <w:numPr>
          <w:ilvl w:val="0"/>
          <w:numId w:val="1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Nie możemy z</w:t>
      </w:r>
      <w:r>
        <w:rPr>
          <w:sz w:val="24"/>
          <w:szCs w:val="24"/>
        </w:rPr>
        <w:t>apominać, że obrona flanki wschodniej nie jest jedyną misją NATO. Dla niektórych sojuszników zagrożenia z południa mają priorytetowy charakter. Dlatego też proporcjonalnie powinniśmy angażować się w pozostałe misje sojuszu, jeśli nie istotnie w sensie mili</w:t>
      </w:r>
      <w:r>
        <w:rPr>
          <w:sz w:val="24"/>
          <w:szCs w:val="24"/>
        </w:rPr>
        <w:t>tarnym, to znacząco w sensie politycznym.</w:t>
      </w:r>
    </w:p>
    <w:p w:rsidR="0015208A" w:rsidRDefault="0015208A">
      <w:pPr>
        <w:textAlignment w:val="auto"/>
        <w:rPr>
          <w:sz w:val="24"/>
          <w:szCs w:val="24"/>
        </w:rPr>
      </w:pPr>
    </w:p>
    <w:p w:rsidR="0015208A" w:rsidRDefault="00E8234F">
      <w:pPr>
        <w:pStyle w:val="Akapitzlist"/>
        <w:numPr>
          <w:ilvl w:val="0"/>
          <w:numId w:val="1"/>
        </w:numPr>
        <w:textAlignment w:val="auto"/>
      </w:pPr>
      <w:r>
        <w:rPr>
          <w:sz w:val="24"/>
          <w:szCs w:val="24"/>
        </w:rPr>
        <w:t xml:space="preserve"> Przyznając priorytet implementacji wojskowych części decyzji NATO, konieczne będzie twórcze wciągnięcie polskiej dyplomacji w polityczne aspekty dwutorowej polityki wobec Rosji i ew. tworzenia zaczątków nowego ła</w:t>
      </w:r>
      <w:r>
        <w:rPr>
          <w:sz w:val="24"/>
          <w:szCs w:val="24"/>
        </w:rPr>
        <w:t xml:space="preserve">du europejskiego (nie może jednak być powrotu do </w:t>
      </w:r>
      <w:r>
        <w:rPr>
          <w:i/>
          <w:sz w:val="24"/>
          <w:szCs w:val="24"/>
        </w:rPr>
        <w:t>status quo ante</w:t>
      </w:r>
      <w:r>
        <w:rPr>
          <w:sz w:val="24"/>
          <w:szCs w:val="24"/>
        </w:rPr>
        <w:t>, zwłaszcza w odniesieniu do Krymu). W tej kwestii nie możemy zapominać o potrzebie ochrony suwerenności Ukrainy i o tzw. granicach kompromisu z Rosją.</w:t>
      </w:r>
    </w:p>
    <w:p w:rsidR="0015208A" w:rsidRDefault="0015208A">
      <w:pPr>
        <w:ind w:left="360"/>
        <w:textAlignment w:val="auto"/>
      </w:pPr>
    </w:p>
    <w:p w:rsidR="0015208A" w:rsidRDefault="00E8234F">
      <w:pPr>
        <w:ind w:left="360"/>
        <w:textAlignment w:val="auto"/>
      </w:pPr>
      <w:r>
        <w:t xml:space="preserve">Opr. Amb. Jan Maria Nowak. </w:t>
      </w:r>
      <w:bookmarkStart w:id="0" w:name="_GoBack"/>
      <w:bookmarkEnd w:id="0"/>
    </w:p>
    <w:sectPr w:rsidR="0015208A">
      <w:footerReference w:type="default" r:id="rId9"/>
      <w:pgSz w:w="12240" w:h="2016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4F" w:rsidRDefault="00E8234F">
      <w:pPr>
        <w:spacing w:after="0" w:line="240" w:lineRule="auto"/>
      </w:pPr>
      <w:r>
        <w:separator/>
      </w:r>
    </w:p>
  </w:endnote>
  <w:endnote w:type="continuationSeparator" w:id="0">
    <w:p w:rsidR="00E8234F" w:rsidRDefault="00E8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EC" w:rsidRDefault="00E8234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976DA">
      <w:rPr>
        <w:noProof/>
      </w:rPr>
      <w:t>1</w:t>
    </w:r>
    <w:r>
      <w:fldChar w:fldCharType="end"/>
    </w:r>
  </w:p>
  <w:p w:rsidR="009E5CEC" w:rsidRDefault="00E82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4F" w:rsidRDefault="00E823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234F" w:rsidRDefault="00E8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F2C"/>
    <w:multiLevelType w:val="multilevel"/>
    <w:tmpl w:val="F960A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208A"/>
    <w:rsid w:val="0015208A"/>
    <w:rsid w:val="00B976DA"/>
    <w:rsid w:val="00E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Pit</cp:lastModifiedBy>
  <cp:revision>2</cp:revision>
  <cp:lastPrinted>2016-10-02T13:56:00Z</cp:lastPrinted>
  <dcterms:created xsi:type="dcterms:W3CDTF">2016-10-20T21:32:00Z</dcterms:created>
  <dcterms:modified xsi:type="dcterms:W3CDTF">2016-10-20T21:32:00Z</dcterms:modified>
</cp:coreProperties>
</file>